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у 2026. години, не користим бесповратна подстицајна средства од стране других јавних фондова за исту намену, која је предмет пријаве коју сам поднео по Конкурсу за избор корисника средстава за субвенционисање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органске производње-набавку садног и семенског материјала дозвољеног за употребу у органској производњи, контролу земљишта и плодова и сертификацију органске производње и друге инвестиције које се односе на органску производњу, а део су свих осталих мера руралног развоја  IV бр. 320-61/2026 од  27.03.2026.  године.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10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5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8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